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endnotes.xml" ContentType="application/vnd.openxmlformats-officedocument.wordprocessingml.endnot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28675" cy="609600"/>
                <wp:effectExtent l="0" t="0" r="0" b="0"/>
                <wp:docPr id="1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828675" cy="6096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65.25pt;height:48.00pt;mso-wrap-distance-left:0.00pt;mso-wrap-distance-top:0.00pt;mso-wrap-distance-right:0.00pt;mso-wrap-distance-bottom:0.00pt;z-index:1;">
                <v:imagedata r:id="rId12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keepNext w:val="true"/>
        <w:widowControl w:val="false"/>
        <w:pBdr/>
        <w:spacing/>
        <w:ind w:left="-709"/>
        <w:jc w:val="center"/>
        <w:rPr>
          <w:rFonts w:ascii="Courier New" w:hAnsi="Courier New" w:eastAsia="Courier New" w:cs="Courier New"/>
          <w:sz w:val="24"/>
          <w:szCs w:val="24"/>
        </w:rPr>
      </w:pPr>
      <w:r>
        <w:rPr>
          <w:rFonts w:ascii="Courier New" w:hAnsi="Courier New" w:eastAsia="Courier New" w:cs="Courier New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04800" cy="133350"/>
                <wp:effectExtent l="0" t="0" r="0" b="0"/>
                <wp:docPr id="2" name="image6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/>
                        <pic:cNvPicPr/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304800" cy="1333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width:24.00pt;height:10.50pt;mso-wrap-distance-left:0.00pt;mso-wrap-distance-top:0.00pt;mso-wrap-distance-right:0.00pt;mso-wrap-distance-bottom:0.00pt;z-index:1;">
                <v:imagedata r:id="rId13" o:title=""/>
                <o:lock v:ext="edit" rotation="t"/>
              </v:shape>
            </w:pict>
          </mc:Fallback>
        </mc:AlternateContent>
      </w:r>
      <w:r>
        <w:rPr>
          <w:rFonts w:ascii="Courier New" w:hAnsi="Courier New" w:eastAsia="Courier New" w:cs="Courier New"/>
          <w:sz w:val="24"/>
          <w:szCs w:val="24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МИНИСТЕРСТВО НАУКИ И ВЫСШЕГО ОБРАЗОВАНИЯ РОССИЙСКОЙ ФЕДЕРАЦИИ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Федеральное государственное бюджетное образовательное учреждение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высшего образования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«Кубанский государственный университет»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(ФГБОУ ВО «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КубГУ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»)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widowControl w:val="false"/>
        <w:pBdr/>
        <w:spacing/>
        <w:ind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Физико-технический факультет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Кафедра теоретической физики и компьютерных технологий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widowControl w:val="false"/>
        <w:pBdr/>
        <w:spacing/>
        <w:ind w:left="-85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ОТЧ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Т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по лабораторной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работе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ПОИСК И ИДЕНТИФИКАЦИЯ НОРМАТИВНЫХ ДОКУМЕНТОВ ПО АКТУАЛИЗИРУЕМЫМ ПРИЗНАКАМ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»</w:t>
      </w:r>
      <w:r>
        <w:rPr>
          <w:rFonts w:ascii="Times New Roman" w:hAnsi="Times New Roman" w:eastAsia="Times New Roman" w:cs="Times New Roman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Работу выполнил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Васильев Никита Евгениевич</w:t>
      </w:r>
      <w:r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 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Направление подготовки 09.03.02 Информационные системы и технологии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</w:t>
      </w:r>
      <w:r>
        <w:rPr>
          <w:rFonts w:ascii="Times New Roman" w:hAnsi="Times New Roman" w:cs="Times New Roman"/>
          <w:sz w:val="28"/>
          <w:szCs w:val="28"/>
        </w:rPr>
        <w:t xml:space="preserve">ель Парфенова И. 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Должность Доцент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Краснодар, 202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sdt>
      <w:sdtPr>
        <w15:appearance w15:val="boundingBox"/>
        <w:id w:val="1435554735"/>
        <w:rPr>
          <w:rFonts w:ascii="Calibri" w:hAnsi="Calibri" w:eastAsia="Calibri" w:cs="Calibri"/>
          <w:color w:val="auto"/>
          <w:sz w:val="22"/>
          <w:szCs w:val="22"/>
        </w:rPr>
      </w:sdtPr>
      <w:sdtContent>
        <w:p>
          <w:pPr>
            <w:pStyle w:val="810"/>
            <w:pBdr/>
            <w:spacing/>
            <w:ind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 xml:space="preserve">Содержание</w:t>
          </w: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r>
        </w:p>
        <w:p>
          <w:pPr>
            <w:pBdr/>
            <w:spacing/>
            <w:ind/>
            <w:rPr/>
          </w:pPr>
          <w:r/>
          <w:r/>
        </w:p>
        <w:p>
          <w:pPr>
            <w:pStyle w:val="811"/>
            <w:pBdr/>
            <w:tabs>
              <w:tab w:val="right" w:leader="dot" w:pos="9344"/>
            </w:tabs>
            <w:spacing/>
            <w:ind/>
            <w:rPr>
              <w:rFonts w:ascii="Times New Roman" w:hAnsi="Times New Roman" w:cs="Times New Roman" w:eastAsiaTheme="minorEastAsia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begin"/>
          </w: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separate"/>
          </w:r>
          <w:hyperlink w:tooltip="#_Toc177070546" w:anchor="_Toc177070546" w:history="1">
            <w:r>
              <w:rPr>
                <w:rStyle w:val="798"/>
                <w:rFonts w:ascii="Times New Roman" w:hAnsi="Times New Roman" w:eastAsia="Times New Roman" w:cs="Times New Roman"/>
                <w:sz w:val="28"/>
                <w:szCs w:val="28"/>
              </w:rPr>
              <w:t xml:space="preserve">Введение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_Toc177070546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Style w:val="798"/>
                <w:rFonts w:ascii="Times New Roman" w:hAnsi="Times New Roman" w:eastAsia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  <w:r/>
          <w:r>
            <w:rPr>
              <w:rFonts w:ascii="Times New Roman" w:hAnsi="Times New Roman" w:cs="Times New Roman" w:eastAsiaTheme="minorEastAsia"/>
              <w:sz w:val="28"/>
              <w:szCs w:val="28"/>
            </w:rPr>
          </w:r>
        </w:p>
        <w:p>
          <w:pPr>
            <w:pStyle w:val="811"/>
            <w:pBdr/>
            <w:tabs>
              <w:tab w:val="right" w:leader="dot" w:pos="9344"/>
            </w:tabs>
            <w:spacing/>
            <w:ind/>
            <w:rPr>
              <w:rFonts w:ascii="Times New Roman" w:hAnsi="Times New Roman" w:cs="Times New Roman" w:eastAsiaTheme="minorEastAsia"/>
              <w:sz w:val="28"/>
              <w:szCs w:val="28"/>
            </w:rPr>
          </w:pPr>
          <w:r/>
          <w:hyperlink w:tooltip="#_Toc177070547" w:anchor="_Toc177070547" w:history="1">
            <w:r>
              <w:rPr>
                <w:rStyle w:val="798"/>
                <w:rFonts w:ascii="Times New Roman" w:hAnsi="Times New Roman" w:eastAsia="Times New Roman" w:cs="Times New Roman"/>
                <w:sz w:val="28"/>
                <w:szCs w:val="28"/>
              </w:rPr>
              <w:t xml:space="preserve">Задание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</w:hyperlink>
          <w:r/>
          <w:r>
            <w:rPr>
              <w:rFonts w:ascii="Times New Roman" w:hAnsi="Times New Roman" w:cs="Times New Roman" w:eastAsiaTheme="minorEastAsia"/>
              <w:sz w:val="28"/>
              <w:szCs w:val="28"/>
            </w:rPr>
          </w:r>
        </w:p>
        <w:p>
          <w:pPr>
            <w:pStyle w:val="811"/>
            <w:pBdr/>
            <w:tabs>
              <w:tab w:val="right" w:leader="dot" w:pos="9344"/>
            </w:tabs>
            <w:spacing/>
            <w:ind/>
            <w:rPr>
              <w:rFonts w:ascii="Times New Roman" w:hAnsi="Times New Roman" w:cs="Times New Roman" w:eastAsiaTheme="minorEastAsia"/>
              <w:sz w:val="28"/>
              <w:szCs w:val="28"/>
            </w:rPr>
          </w:pPr>
          <w:r/>
          <w:hyperlink w:tooltip="#_Toc177070547" w:anchor="_Toc177070547" w:history="1">
            <w:r>
              <w:rPr>
                <w:rStyle w:val="798"/>
                <w:rFonts w:ascii="Times New Roman" w:hAnsi="Times New Roman" w:eastAsia="Times New Roman" w:cs="Times New Roman"/>
                <w:sz w:val="28"/>
                <w:szCs w:val="28"/>
              </w:rPr>
              <w:t xml:space="preserve">Теоретическая часть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</w:t>
            </w:r>
          </w:hyperlink>
          <w:r/>
          <w:r>
            <w:rPr>
              <w:rFonts w:ascii="Times New Roman" w:hAnsi="Times New Roman" w:cs="Times New Roman" w:eastAsiaTheme="minorEastAsia"/>
              <w:sz w:val="28"/>
              <w:szCs w:val="28"/>
            </w:rPr>
          </w:r>
        </w:p>
        <w:p>
          <w:pPr>
            <w:pStyle w:val="811"/>
            <w:pBdr/>
            <w:tabs>
              <w:tab w:val="right" w:leader="dot" w:pos="9344"/>
            </w:tabs>
            <w:spacing/>
            <w:ind/>
            <w:rPr>
              <w:rFonts w:ascii="Times New Roman" w:hAnsi="Times New Roman" w:cs="Times New Roman" w:eastAsiaTheme="minorEastAsia"/>
              <w:sz w:val="28"/>
              <w:szCs w:val="28"/>
            </w:rPr>
          </w:pPr>
          <w:r/>
          <w:hyperlink w:tooltip="#_Toc177070547" w:anchor="_Toc177070547" w:history="1">
            <w:r>
              <w:rPr>
                <w:rStyle w:val="798"/>
                <w:rFonts w:ascii="Times New Roman" w:hAnsi="Times New Roman" w:eastAsia="Times New Roman" w:cs="Times New Roman"/>
                <w:sz w:val="28"/>
                <w:szCs w:val="28"/>
              </w:rPr>
              <w:t xml:space="preserve">Практическая часть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</w:t>
            </w:r>
          </w:hyperlink>
          <w:r/>
          <w:r>
            <w:rPr>
              <w:rFonts w:ascii="Times New Roman" w:hAnsi="Times New Roman" w:cs="Times New Roman" w:eastAsiaTheme="minorEastAsia"/>
              <w:sz w:val="28"/>
              <w:szCs w:val="28"/>
            </w:rPr>
          </w:r>
        </w:p>
        <w:p>
          <w:pPr>
            <w:pStyle w:val="811"/>
            <w:pBdr/>
            <w:tabs>
              <w:tab w:val="right" w:leader="dot" w:pos="9344"/>
            </w:tabs>
            <w:spacing/>
            <w:ind/>
            <w:rPr>
              <w:rFonts w:ascii="Times New Roman" w:hAnsi="Times New Roman" w:cs="Times New Roman" w:eastAsiaTheme="minorEastAsia"/>
              <w:sz w:val="28"/>
              <w:szCs w:val="28"/>
            </w:rPr>
          </w:pPr>
          <w:r/>
          <w:hyperlink w:tooltip="#_Toc177070548" w:anchor="_Toc177070548" w:history="1">
            <w:r>
              <w:rPr>
                <w:rStyle w:val="798"/>
                <w:rFonts w:ascii="Times New Roman" w:hAnsi="Times New Roman" w:eastAsia="Times New Roman" w:cs="Times New Roman"/>
                <w:sz w:val="28"/>
                <w:szCs w:val="28"/>
              </w:rPr>
              <w:t xml:space="preserve">Заключение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</w:hyperlink>
          <w:r/>
          <w:r>
            <w:rPr>
              <w:rFonts w:ascii="Times New Roman" w:hAnsi="Times New Roman" w:cs="Times New Roman" w:eastAsiaTheme="minorEastAsia"/>
              <w:sz w:val="28"/>
              <w:szCs w:val="28"/>
            </w:rPr>
          </w:r>
        </w:p>
        <w:p>
          <w:pPr>
            <w:pBdr/>
            <w:spacing/>
            <w:ind/>
            <w:rPr/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  <w:r/>
        </w:p>
      </w:sdtContent>
    </w:sdt>
    <w:p>
      <w:pPr>
        <w:pBdr/>
        <w:spacing w:line="360" w:lineRule="auto"/>
        <w:ind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Style w:val="783"/>
        <w:pBdr/>
        <w:spacing w:line="360" w:lineRule="auto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</w:rPr>
      </w:pPr>
      <w:r/>
      <w:bookmarkStart w:id="0" w:name="_Toc177070546"/>
      <w:r>
        <w:rPr>
          <w:rFonts w:ascii="Times New Roman" w:hAnsi="Times New Roman" w:eastAsia="Times New Roman" w:cs="Times New Roman"/>
          <w:sz w:val="28"/>
          <w:szCs w:val="28"/>
        </w:rPr>
        <w:t xml:space="preserve">Введение</w:t>
      </w:r>
      <w:bookmarkEnd w:id="0"/>
      <w:r/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Целью выполнения работы является приобретение навыков работы с нормативными документами по стандартизации, осуществление быстрого поиска информации об интересующих стандартах и обеспечение гарантированной достоверной информации о них.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ходе ра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боты необходимо освоить методику поиска достоверных сведений о нормативных документах, используя официальные указатели стандартов, и научиться формировать обоснованное заключение о правомочности применения конкретного стандарта в практической деятельности.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783"/>
        <w:pBdr/>
        <w:spacing w:line="360" w:lineRule="auto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Задание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/>
        <w:ind/>
        <w:rPr/>
      </w:pPr>
      <w:r/>
      <w:r/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Задание 2.1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Используя указатель «Национальные стандарты Российской Федерации» (том 3), путем анализа приведенного обозначения нормативного документа для заданного варианта сделать заключение о возможности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/невозможности его использования для вновь разрабатываемой продукции. При этом пояснить, почему нельзя делать ссылку на данный стандарт во вновь разрабатываемых документах, либо обосновать возможность его использования. Заключение привести в таблице 2.1. 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Если указанный стандарт отсутствует в Фонде действующих стандартов на текущий год, то он не подлежит использованию; если не соответствует год регистрации стандарта, то действует пересмотренный стандарт.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117590" cy="3831590"/>
                <wp:effectExtent l="0" t="0" r="0" b="0"/>
                <wp:docPr id="3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6117590" cy="3831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" o:spid="_x0000_s2" type="#_x0000_t75" style="width:481.70pt;height:301.70pt;mso-wrap-distance-left:0.00pt;mso-wrap-distance-top:0.00pt;mso-wrap-distance-right:0.00pt;mso-wrap-distance-bottom:0.00pt;z-index:1;" stroked="f">
                <v:imagedata r:id="rId14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Задание 2.2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Используя том 3 указателя «Национальные стандарты Российской Федерации», по приведенному в таблице 2.2 обозначению документа для заданного варианта указать, какие из нижеприведенных стандартов можно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использовать в работе на территории РФ, а какие нельзя. Заключение (можно/нельзя) с обоснованием привести в графе «Обоснование» таблицы 2.2.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Обратить внимание на наличие в указателе формулировки: «Утратил силу на территории РФ».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052185" cy="4364990"/>
                <wp:effectExtent l="0" t="0" r="0" b="0"/>
                <wp:docPr id="4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6052185" cy="4364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3" o:spid="_x0000_s3" type="#_x0000_t75" style="width:476.55pt;height:343.70pt;mso-wrap-distance-left:0.00pt;mso-wrap-distance-top:0.00pt;mso-wrap-distance-right:0.00pt;mso-wrap-distance-bottom:0.00pt;z-index:1;" stroked="f">
                <v:imagedata r:id="rId15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Задание 2.3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Используя указатель «Национальные стандарты Российской Федерации» (3 том, нумерационный), по приведенному обозначению документа для зада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нного варианта сделать заключение, какой нормативный документ следует использовать в работе вместо приведенного, чтобы было правильно. Обозначение используемого в текущем году документа и обоснование правомочности его использования привести в таблице 2.3.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Если стандарт отменен и его нет в фонде действующих стандартов на текущий год, то необходимо провести поиск по указателю «Отмененные национальные стандарты» для нахождения сведений о действующем документе другой категории взамен отмененного.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028690" cy="4486910"/>
                <wp:effectExtent l="0" t="0" r="0" b="0"/>
                <wp:docPr id="5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6028690" cy="4486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4" o:spid="_x0000_s4" type="#_x0000_t75" style="width:474.70pt;height:353.30pt;mso-wrap-distance-left:0.00pt;mso-wrap-distance-top:0.00pt;mso-wrap-distance-right:0.00pt;mso-wrap-distance-bottom:0.00pt;z-index:1;" stroked="f">
                <v:imagedata r:id="rId16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Задание 2.4 выполня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ется с использованием 3-его тома указателя, по которому определяется код классификационной группировки стандарта. Затем, используя 1-ый или 2-ой тома указателя, по найденному коду стандарта и известному обозначению стандарта находят наименование стандарта.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Задание 2.5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Указать структуру кода рабочего стандарта с пояснением информации, которую заключают в себе составные элементы кода и их наименования. В коде выделить 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омер раздела, группы, подгруппы и привести соответствующие им наименования. Код классификационной группировки включает номер раздела - две первые цифры до точки и номера группы, подгруппы - последующие цифры с точками. Полученные данные привести в отчете.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Задание 2.6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Используя указатели «Национальные стандарты», осуществить поиск стандарта по его наименованию. Наименование стандарта приведено во второй строке для каждого варианта в таблице 2.4. Выполнение задания № 6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необходимо начинат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ь с поиска по ключевому слову в алфавитно-предметном указателе 3-его тома. Ключевые слова, выбираем из приведенного наименования стандарта. Далее, напротив ключевого слова, находим номер страницы указателя, на которой следует искать обозначение стандарта.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Указанную страницу находим в 1-ом, либо 2-ом томе, нумерация страниц в которых сквозная. На этой странице по известному наименованию стандарта находим искомое обозначение.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057900" cy="2505075"/>
                <wp:effectExtent l="0" t="0" r="0" b="0"/>
                <wp:docPr id="6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7"/>
                        <a:stretch/>
                      </pic:blipFill>
                      <pic:spPr bwMode="auto">
                        <a:xfrm>
                          <a:off x="0" y="0"/>
                          <a:ext cx="6057900" cy="25050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5" o:spid="_x0000_s5" type="#_x0000_t75" style="width:477.00pt;height:197.25pt;mso-wrap-distance-left:0.00pt;mso-wrap-distance-top:0.00pt;mso-wrap-distance-right:0.00pt;mso-wrap-distance-bottom:0.00pt;z-index:1;" stroked="f">
                <v:imagedata r:id="rId17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Задание 2.7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Результаты проделанной работы оформить в виде отчета, в котором следует разместить заполненные таблицы и привести обоснования возможности использования (неиспользования) указанных стандартов.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783"/>
        <w:pBdr/>
        <w:spacing w:line="360" w:lineRule="auto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Теоретическая часть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/>
      </w:pPr>
      <w:r/>
      <w:r/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Основным критерием, определяющим правомерность применения нормативного документа, является его офи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циальный статус на текущий момент. Фонд стандартов постоянно обновляется: вводятся новые документы, вносятся изменения в существующие, а устаревшие отменяются или заменяются. Процесс поддержания документации в актуальном состоянии называется актуализацией.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Для актуализации используются официальные источники информации Росстандарта: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Указатель «Национальные стандарты Российской Федерации»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ежегодное издание, содержащее перечень всех действующих на 1 января национальных и межгосударственных стандартов.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Информационный указатель стандартов (ИУС)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ежемесячное издание, информирующее обо всех изменениях, произошедших за месяц (принятие, отмена, замена стандартов, поправки).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Указатель «Отмененные национальные стандарты»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справочник, в котором можно найти информацию о том, каким документом был заменен отмененный стандарт.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Каждый стандарт может иметь один из следующих статусов: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05"/>
        <w:numPr>
          <w:ilvl w:val="0"/>
          <w:numId w:val="30"/>
        </w:numPr>
        <w:pBdr/>
        <w:spacing w:line="360" w:lineRule="auto"/>
        <w:ind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Действующий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стандарт актуален и обязателен (или рекомендован) к применению.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05"/>
        <w:numPr>
          <w:ilvl w:val="0"/>
          <w:numId w:val="30"/>
        </w:numPr>
        <w:pBdr/>
        <w:spacing w:line="360" w:lineRule="auto"/>
        <w:ind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Отменен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стандарт прекратил свое действие и не может быть использован. Может быть отменен с заменой или без замены.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05"/>
        <w:numPr>
          <w:ilvl w:val="0"/>
          <w:numId w:val="30"/>
        </w:numPr>
        <w:pBdr/>
        <w:spacing w:line="360" w:lineRule="auto"/>
        <w:ind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Заменен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вместо данного стандарта введен в действие другой, более актуальный документ.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Утратил силу на территории РФ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особый статус для межгосударственных стандартов (ГОСТ), которые в России заменены национальными аналогами (ГОСТ Р), но могут продолжать действовать в других странах СНГ.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Проверка статуса стандарта является обязательной процедурой перед его использованием в разработке, производстве или при составлении технической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783"/>
        <w:pBdr/>
        <w:spacing/>
        <w:ind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Практическая часть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783"/>
        <w:pBdr/>
        <w:spacing w:after="0" w:before="0"/>
        <w:ind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Анализ возможности использования стандартов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783"/>
        <w:pBdr/>
        <w:spacing w:after="0" w:before="0"/>
        <w:ind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для вновь разрабатываемой продукции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tbl>
      <w:tblPr>
        <w:tblStyle w:val="801"/>
        <w:tblW w:w="0" w:type="auto"/>
        <w:tblBorders/>
        <w:tblLook w:val="04A0" w:firstRow="1" w:lastRow="0" w:firstColumn="1" w:lastColumn="0" w:noHBand="0" w:noVBand="1"/>
      </w:tblPr>
      <w:tblGrid>
        <w:gridCol w:w="1809"/>
        <w:gridCol w:w="3544"/>
        <w:gridCol w:w="4501"/>
      </w:tblGrid>
      <w:tr>
        <w:trPr/>
        <w:tc>
          <w:tcPr>
            <w:tcBorders/>
            <w:tcW w:w="180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варианта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354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Обозначение стандарта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5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1809" w:type="dxa"/>
            <w:vMerge w:val="restart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</w:p>
        </w:tc>
        <w:tc>
          <w:tcPr>
            <w:tcBorders/>
            <w:tcW w:w="354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ГОСТ 8.021-78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5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Нельзя. Стандарт отменен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(заменен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ГОСТ 8.021-2005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).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1809" w:type="dxa"/>
            <w:vMerge w:val="continue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354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ГОСТ 111-90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5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Нельзя. Стандарт отменен.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1809" w:type="dxa"/>
            <w:vMerge w:val="continue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354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ГОСТ 11930.13-79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5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Нельзя. Стандарт отменен.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1809" w:type="dxa"/>
            <w:vMerge w:val="continue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354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14044-79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45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Нельзя. Стандарт отменен (заменен на ГОСТ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4044-93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).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1809" w:type="dxa"/>
            <w:vMerge w:val="continue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354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ГОСТ 7494-87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5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Нельзя. Стандарт отменен.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</w:tr>
    </w:tbl>
    <w:p>
      <w:pPr>
        <w:pBdr/>
        <w:spacing w:line="360" w:lineRule="auto"/>
        <w:ind w:firstLine="72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783"/>
        <w:pBdr/>
        <w:spacing/>
        <w:ind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Определение стандартов, действующих на территории РФ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tbl>
      <w:tblPr>
        <w:tblStyle w:val="801"/>
        <w:tblW w:w="0" w:type="auto"/>
        <w:tblBorders/>
        <w:tblLook w:val="04A0" w:firstRow="1" w:lastRow="0" w:firstColumn="1" w:lastColumn="0" w:noHBand="0" w:noVBand="1"/>
      </w:tblPr>
      <w:tblGrid>
        <w:gridCol w:w="1809"/>
        <w:gridCol w:w="3544"/>
        <w:gridCol w:w="4501"/>
      </w:tblGrid>
      <w:tr>
        <w:trPr/>
        <w:tc>
          <w:tcPr>
            <w:tcBorders/>
            <w:tcW w:w="180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варианта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354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Обозначение стандарта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5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180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354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45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1809" w:type="dxa"/>
            <w:vMerge w:val="restart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54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ГОСТ 16782-87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5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Нельзя. Стандарт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отменен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(заменен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16782-92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1809" w:type="dxa"/>
            <w:vMerge w:val="continue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54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ГОСТ 7.38-82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5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Нельзя. Утратил силу на территории РФ,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без замены.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1809" w:type="dxa"/>
            <w:vMerge w:val="continue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54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ГОСТ Р 1.5-92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5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Нельзя.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отменен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(заменен на 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ГОСТ Р 1.5-2012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).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1809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</w:p>
        </w:tc>
        <w:tc>
          <w:tcPr>
            <w:tcBorders/>
            <w:tcW w:w="3544" w:type="dxa"/>
            <w:vMerge w:val="restart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9.713-81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4501" w:type="dxa"/>
            <w:vMerge w:val="restart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Нельзя. Стандарт отменен  (заменен на ГОСТ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9.713-86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).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1809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</w:p>
        </w:tc>
        <w:tc>
          <w:tcPr>
            <w:tcBorders/>
            <w:tcW w:w="3544" w:type="dxa"/>
            <w:vMerge w:val="restart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ГОСТ 11001-80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501" w:type="dxa"/>
            <w:vMerge w:val="restart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Нельзя. Утратил силу на территории РФ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(заменен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ГОСТ Р 51319-99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).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</w:tr>
    </w:tbl>
    <w:p>
      <w:pPr>
        <w:pBdr/>
        <w:spacing w:line="360" w:lineRule="auto"/>
        <w:ind w:firstLine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783"/>
        <w:pBdr/>
        <w:spacing/>
        <w:ind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Поиск действующих нормативных документов взамен отмененных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tbl>
      <w:tblPr>
        <w:tblStyle w:val="801"/>
        <w:tblW w:w="0" w:type="auto"/>
        <w:tblBorders/>
        <w:tblLayout w:type="fixed"/>
        <w:tblLook w:val="04A0" w:firstRow="1" w:lastRow="0" w:firstColumn="1" w:lastColumn="0" w:noHBand="0" w:noVBand="1"/>
      </w:tblPr>
      <w:tblGrid>
        <w:gridCol w:w="1809"/>
        <w:gridCol w:w="3401"/>
        <w:gridCol w:w="4644"/>
      </w:tblGrid>
      <w:tr>
        <w:trPr/>
        <w:tc>
          <w:tcPr>
            <w:tcBorders/>
            <w:tcW w:w="180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варианта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34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Обозначение стандарта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64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Обозначение нормативного документа, который является действующим в текущем году, и обоснование его применения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1809" w:type="dxa"/>
            <w:vMerge w:val="restart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</w:p>
        </w:tc>
        <w:tc>
          <w:tcPr>
            <w:tcBorders/>
            <w:tcW w:w="34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ГОСТ 25346-89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64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25346-2013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Является прямой заменой отмененного стандарта.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1809" w:type="dxa"/>
            <w:vMerge w:val="continue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34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ГОСТ 7.12-93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64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ГОСТ Р 7.0.12-2011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Изначальный стандарт утратил силу на территории РФ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1809" w:type="dxa"/>
            <w:vMerge w:val="continue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34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ГОСТ Р 1.0-93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64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ГОСТ Р 1.0-2012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Является прямой заменой отмененного стандарта.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1809" w:type="dxa"/>
            <w:vMerge w:val="continue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34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ГОСТ 2.710-81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64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Действующий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1809" w:type="dxa"/>
            <w:vMerge w:val="continue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34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ГОСТ 28388-89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64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Действующий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</w:tr>
    </w:tbl>
    <w:p>
      <w:pPr>
        <w:pBdr/>
        <w:spacing w:line="360" w:lineRule="auto"/>
        <w:ind w:firstLine="0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783"/>
        <w:pBdr/>
        <w:spacing/>
        <w:ind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4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Результаты поиска по номеру и наименованию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tbl>
      <w:tblPr>
        <w:tblStyle w:val="801"/>
        <w:jc w:val="center"/>
        <w:tblW w:w="0" w:type="auto"/>
        <w:tblBorders/>
        <w:tblLayout w:type="fixed"/>
        <w:tblLook w:val="04A0" w:firstRow="1" w:lastRow="0" w:firstColumn="1" w:lastColumn="0" w:noHBand="0" w:noVBand="1"/>
      </w:tblPr>
      <w:tblGrid>
        <w:gridCol w:w="1524"/>
        <w:gridCol w:w="1473"/>
        <w:gridCol w:w="1504"/>
        <w:gridCol w:w="3402"/>
        <w:gridCol w:w="1951"/>
      </w:tblGrid>
      <w:tr>
        <w:trPr>
          <w:jc w:val="center"/>
          <w:trHeight w:val="1823"/>
        </w:trPr>
        <w:tc>
          <w:tcPr>
            <w:tcBorders/>
            <w:tcW w:w="152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Категория документа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1473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Номер документа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150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Код документа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40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Название документа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195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Номера изменений, с которыми действует данный стандарт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rPr>
          <w:jc w:val="center"/>
        </w:trPr>
        <w:tc>
          <w:tcPr>
            <w:tcBorders/>
            <w:tcW w:w="152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ГОСТ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1473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8.558-93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150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17.200.20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40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Государственная система обеспечения единства из-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мерений. Государственная поверочная схема для</w:t>
            </w:r>
            <w:r/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pBdr/>
              <w:spacing w:line="360" w:lineRule="auto"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средств измерений температуры.</w:t>
            </w:r>
            <w:r/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195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Стандарт отменен, заменен на ГОСТ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8.558-2009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</w:tbl>
    <w:p>
      <w:pPr>
        <w:pBdr/>
        <w:spacing w:line="36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Структура кода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17</w:t>
      </w:r>
      <w:r/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Раздел. Две цифры, обозначающие широкую область стандартизации.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Пример: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17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МЕТРОЛОГИЯ И ИЗМЕРЕНИЯ. ФИЗИЧЕСКИЕ ЯВЛЕНИЯ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200</w:t>
      </w:r>
      <w:r/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Группа. Три цифры, которые конкретизируют область внутри раздела.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Пример: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17</w:t>
      </w:r>
      <w:r/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200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 </w:t>
      </w:r>
      <w:r/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ТЕРМОДИНАМИКА И ИЗМЕРЕНИЯ </w:t>
      </w:r>
      <w:r/>
      <w:r>
        <w:rPr>
          <w:rFonts w:ascii="Times New Roman" w:hAnsi="Times New Roman" w:eastAsia="Times New Roman" w:cs="Times New Roman"/>
          <w:sz w:val="28"/>
          <w:szCs w:val="28"/>
        </w:rPr>
        <w:t xml:space="preserve">ТЕМПЕРАТУРЫ</w:t>
      </w:r>
      <w:r/>
      <w:r>
        <w:rPr>
          <w:lang w:val="en-US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  <w:r/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20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Подгруппа. Две цифры, которые определяют узкую тематику внутри группы.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Пример: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17.200.20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bookmarkStart w:id="1" w:name="_GoBack"/>
      <w:r/>
      <w:bookmarkEnd w:id="1"/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ПРИБОРЫ ДЛЯ ИЗМЕРЕНИЙ </w:t>
      </w:r>
      <w:r/>
      <w:r>
        <w:rPr>
          <w:rFonts w:ascii="Times New Roman" w:hAnsi="Times New Roman" w:eastAsia="Times New Roman" w:cs="Times New Roman"/>
          <w:sz w:val="28"/>
          <w:szCs w:val="28"/>
        </w:rPr>
        <w:t xml:space="preserve">ТЕМПЕРАТУРЫ</w:t>
      </w:r>
      <w:r/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  <w:r/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en-US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val="en-US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Style w:val="783"/>
        <w:pBdr/>
        <w:spacing/>
        <w:ind/>
        <w:jc w:val="center"/>
        <w:rPr>
          <w:rFonts w:ascii="Times New Roman" w:hAnsi="Times New Roman" w:eastAsia="Times New Roman" w:cs="Times New Roman"/>
          <w:sz w:val="28"/>
          <w:szCs w:val="28"/>
        </w:rPr>
      </w:pPr>
      <w:r/>
      <w:bookmarkStart w:id="2" w:name="_Toc177070548"/>
      <w:r>
        <w:rPr>
          <w:rFonts w:ascii="Times New Roman" w:hAnsi="Times New Roman" w:eastAsia="Times New Roman" w:cs="Times New Roman"/>
          <w:sz w:val="28"/>
          <w:szCs w:val="28"/>
        </w:rPr>
        <w:t xml:space="preserve">Заключение</w:t>
      </w:r>
      <w:bookmarkEnd w:id="2"/>
      <w:r/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ходе 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ыполнения лабораторной работы №2 были освоены навыки работы с указателями нормативных документов и методы проверки их актуальности. Были проанализированы три группы стандартов, для каждой из которых определен текущий статус (действующий, отменен, заменен).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Практическая часть показала, что значительная часть нормативных документов, особенно разработанных в 70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80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х годах, на сегодняшний день отменена или заменена на более современные версии. Это подтверждает критическую важность проведения актуализации стандартов перед их использованием в любой практической деятельности.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Таким образом, цель работы была достигнута: приобретены навыки поиска и идентификации нормативных документов по их актуализируемым признакам, что является неотъемлемой компетенцией специалиста в области информационных технологий и стандартизации.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sectPr>
      <w:footerReference w:type="default" r:id="rId9"/>
      <w:footnotePr/>
      <w:endnotePr/>
      <w:type w:val="nextPage"/>
      <w:pgSz w:h="16838" w:orient="portrait" w:w="11906"/>
      <w:pgMar w:top="1134" w:right="567" w:bottom="1134" w:left="1701" w:header="709" w:footer="709" w:gutter="0"/>
      <w:pgNumType w:start="1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/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Georgia">
    <w:panose1 w:val="02040502050405020303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755974800"/>
      <w:rPr/>
    </w:sdtPr>
    <w:sdtContent>
      <w:p>
        <w:pPr>
          <w:pStyle w:val="814"/>
          <w:pBdr/>
          <w:spacing/>
          <w:ind/>
          <w:jc w:val="right"/>
          <w:rPr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7</w:t>
        </w:r>
        <w:r>
          <w:fldChar w:fldCharType="end"/>
        </w:r>
        <w:r/>
      </w:p>
    </w:sdtContent>
  </w:sdt>
  <w:p>
    <w:pPr>
      <w:pStyle w:val="814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C230C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Times New Roman" w:hAnsi="Times New Roman" w:cs="Times New Roman" w:eastAsiaTheme="minorHAnsi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040B5A4F"/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2">
    <w:nsid w:val="06465A1C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true"/>
      <w:lvlJc w:val="left"/>
      <w:lvlText w:val="%1.%2"/>
      <w:numFmt w:val="decimal"/>
      <w:pPr>
        <w:pBdr/>
        <w:spacing/>
        <w:ind w:hanging="450" w:left="810"/>
      </w:pPr>
      <w:rPr>
        <w:rFonts w:hint="default"/>
      </w:rPr>
      <w:start w:val="1"/>
      <w:suff w:val="tab"/>
    </w:lvl>
    <w:lvl w:ilvl="2">
      <w:isLgl w:val="true"/>
      <w:lvlJc w:val="left"/>
      <w:lvlText w:val="%1.%2.%3"/>
      <w:numFmt w:val="decimal"/>
      <w:pPr>
        <w:pBdr/>
        <w:spacing/>
        <w:ind w:hanging="720" w:left="1080"/>
      </w:pPr>
      <w:rPr>
        <w:rFonts w:hint="default"/>
      </w:rPr>
      <w:start w:val="1"/>
      <w:suff w:val="tab"/>
    </w:lvl>
    <w:lvl w:ilvl="3">
      <w:isLgl w:val="true"/>
      <w:lvlJc w:val="left"/>
      <w:lvlText w:val="%1.%2.%3.%4"/>
      <w:numFmt w:val="decimal"/>
      <w:pPr>
        <w:pBdr/>
        <w:spacing/>
        <w:ind w:hanging="1080" w:left="1440"/>
      </w:pPr>
      <w:rPr>
        <w:rFonts w:hint="default"/>
      </w:rPr>
      <w:start w:val="1"/>
      <w:suff w:val="tab"/>
    </w:lvl>
    <w:lvl w:ilvl="4">
      <w:isLgl w:val="true"/>
      <w:lvlJc w:val="left"/>
      <w:lvlText w:val="%1.%2.%3.%4.%5"/>
      <w:numFmt w:val="decimal"/>
      <w:pPr>
        <w:pBdr/>
        <w:spacing/>
        <w:ind w:hanging="1080" w:left="1440"/>
      </w:pPr>
      <w:rPr>
        <w:rFonts w:hint="default"/>
      </w:rPr>
      <w:start w:val="1"/>
      <w:suff w:val="tab"/>
    </w:lvl>
    <w:lvl w:ilvl="5">
      <w:isLgl w:val="true"/>
      <w:lvlJc w:val="left"/>
      <w:lvlText w:val="%1.%2.%3.%4.%5.%6"/>
      <w:numFmt w:val="decimal"/>
      <w:pPr>
        <w:pBdr/>
        <w:spacing/>
        <w:ind w:hanging="1440" w:left="180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"/>
      <w:numFmt w:val="decimal"/>
      <w:pPr>
        <w:pBdr/>
        <w:spacing/>
        <w:ind w:hanging="1440" w:left="180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"/>
      <w:numFmt w:val="decimal"/>
      <w:pPr>
        <w:pBdr/>
        <w:spacing/>
        <w:ind w:hanging="1800" w:left="216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"/>
      <w:numFmt w:val="decimal"/>
      <w:pPr>
        <w:pBdr/>
        <w:spacing/>
        <w:ind w:hanging="2160" w:left="2520"/>
      </w:pPr>
      <w:rPr>
        <w:rFonts w:hint="default"/>
      </w:rPr>
      <w:start w:val="1"/>
      <w:suff w:val="tab"/>
    </w:lvl>
  </w:abstractNum>
  <w:abstractNum w:abstractNumId="3">
    <w:nsid w:val="083E55D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4">
    <w:nsid w:val="0A660DBF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nsid w:val="0B0151B4"/>
    <w:lvl w:ilvl="0">
      <w:isLgl w:val="false"/>
      <w:lvlJc w:val="left"/>
      <w:lvlText w:val="%1"/>
      <w:numFmt w:val="decimal"/>
      <w:pPr>
        <w:pBdr/>
        <w:spacing/>
        <w:ind w:hanging="360" w:left="1440"/>
      </w:pPr>
      <w:rPr>
        <w:rFonts w:ascii="Times New Roman" w:hAnsi="Times New Roman" w:eastAsia="Times New Roman" w:cs="Times New Roman"/>
      </w:rPr>
      <w:start w:val="1"/>
      <w:suff w:val="tab"/>
    </w:lvl>
    <w:lvl w:ilvl="1">
      <w:isLgl w:val="true"/>
      <w:lvlJc w:val="left"/>
      <w:lvlText w:val="%1.%2"/>
      <w:numFmt w:val="decimal"/>
      <w:pPr>
        <w:pBdr/>
        <w:spacing/>
        <w:ind w:hanging="450" w:left="1530"/>
      </w:pPr>
      <w:rPr>
        <w:rFonts w:hint="default"/>
      </w:rPr>
      <w:start w:val="1"/>
      <w:suff w:val="tab"/>
    </w:lvl>
    <w:lvl w:ilvl="2">
      <w:isLgl w:val="true"/>
      <w:lvlJc w:val="left"/>
      <w:lvlText w:val="%1.%2.%3"/>
      <w:numFmt w:val="decimal"/>
      <w:pPr>
        <w:pBdr/>
        <w:spacing/>
        <w:ind w:hanging="720" w:left="1800"/>
      </w:pPr>
      <w:rPr>
        <w:rFonts w:hint="default"/>
      </w:rPr>
      <w:start w:val="1"/>
      <w:suff w:val="tab"/>
    </w:lvl>
    <w:lvl w:ilvl="3">
      <w:isLgl w:val="true"/>
      <w:lvlJc w:val="left"/>
      <w:lvlText w:val="%1.%2.%3.%4"/>
      <w:numFmt w:val="decimal"/>
      <w:pPr>
        <w:pBdr/>
        <w:spacing/>
        <w:ind w:hanging="1080" w:left="2160"/>
      </w:pPr>
      <w:rPr>
        <w:rFonts w:hint="default"/>
      </w:rPr>
      <w:start w:val="1"/>
      <w:suff w:val="tab"/>
    </w:lvl>
    <w:lvl w:ilvl="4">
      <w:isLgl w:val="true"/>
      <w:lvlJc w:val="left"/>
      <w:lvlText w:val="%1.%2.%3.%4.%5"/>
      <w:numFmt w:val="decimal"/>
      <w:pPr>
        <w:pBdr/>
        <w:spacing/>
        <w:ind w:hanging="1080" w:left="2160"/>
      </w:pPr>
      <w:rPr>
        <w:rFonts w:hint="default"/>
      </w:rPr>
      <w:start w:val="1"/>
      <w:suff w:val="tab"/>
    </w:lvl>
    <w:lvl w:ilvl="5">
      <w:isLgl w:val="true"/>
      <w:lvlJc w:val="left"/>
      <w:lvlText w:val="%1.%2.%3.%4.%5.%6"/>
      <w:numFmt w:val="decimal"/>
      <w:pPr>
        <w:pBdr/>
        <w:spacing/>
        <w:ind w:hanging="1440" w:left="252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"/>
      <w:numFmt w:val="decimal"/>
      <w:pPr>
        <w:pBdr/>
        <w:spacing/>
        <w:ind w:hanging="1440" w:left="25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"/>
      <w:numFmt w:val="decimal"/>
      <w:pPr>
        <w:pBdr/>
        <w:spacing/>
        <w:ind w:hanging="1800" w:left="288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"/>
      <w:numFmt w:val="decimal"/>
      <w:pPr>
        <w:pBdr/>
        <w:spacing/>
        <w:ind w:hanging="2160" w:left="3240"/>
      </w:pPr>
      <w:rPr>
        <w:rFonts w:hint="default"/>
      </w:rPr>
      <w:start w:val="1"/>
      <w:suff w:val="tab"/>
    </w:lvl>
  </w:abstractNum>
  <w:abstractNum w:abstractNumId="6">
    <w:nsid w:val="1970125F"/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rFonts w:ascii="Noto Sans Symbols" w:hAnsi="Noto Sans Symbols" w:eastAsia="Noto Sans Symbols" w:cs="Noto Sans Symbols"/>
        <w:sz w:val="20"/>
        <w:szCs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  <w:sz w:val="20"/>
        <w:szCs w:val="20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 Symbols" w:hAnsi="Noto Sans Symbols" w:eastAsia="Noto Sans Symbols" w:cs="Noto Sans Symbols"/>
        <w:sz w:val="20"/>
        <w:szCs w:val="20"/>
      </w:rPr>
      <w:start w:val="1"/>
      <w:suff w:val="tab"/>
    </w:lvl>
    <w:lvl w:ilvl="3">
      <w:isLgl w:val="false"/>
      <w:lvlJc w:val="left"/>
      <w:lvlText w:val="▪"/>
      <w:numFmt w:val="bullet"/>
      <w:pPr>
        <w:pBdr/>
        <w:spacing/>
        <w:ind w:hanging="360" w:left="2880"/>
      </w:pPr>
      <w:rPr>
        <w:rFonts w:ascii="Noto Sans Symbols" w:hAnsi="Noto Sans Symbols" w:eastAsia="Noto Sans Symbols" w:cs="Noto Sans Symbols"/>
        <w:sz w:val="20"/>
        <w:szCs w:val="20"/>
      </w:rPr>
      <w:start w:val="1"/>
      <w:suff w:val="tab"/>
    </w:lvl>
    <w:lvl w:ilvl="4">
      <w:isLgl w:val="false"/>
      <w:lvlJc w:val="left"/>
      <w:lvlText w:val="▪"/>
      <w:numFmt w:val="bullet"/>
      <w:pPr>
        <w:pBdr/>
        <w:spacing/>
        <w:ind w:hanging="360" w:left="3600"/>
      </w:pPr>
      <w:rPr>
        <w:rFonts w:ascii="Noto Sans Symbols" w:hAnsi="Noto Sans Symbols" w:eastAsia="Noto Sans Symbols" w:cs="Noto Sans Symbols"/>
        <w:sz w:val="20"/>
        <w:szCs w:val="20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 Symbols" w:hAnsi="Noto Sans Symbols" w:eastAsia="Noto Sans Symbols" w:cs="Noto Sans Symbols"/>
        <w:sz w:val="20"/>
        <w:szCs w:val="20"/>
      </w:rPr>
      <w:start w:val="1"/>
      <w:suff w:val="tab"/>
    </w:lvl>
    <w:lvl w:ilvl="6">
      <w:isLgl w:val="false"/>
      <w:lvlJc w:val="left"/>
      <w:lvlText w:val="▪"/>
      <w:numFmt w:val="bullet"/>
      <w:pPr>
        <w:pBdr/>
        <w:spacing/>
        <w:ind w:hanging="360" w:left="5040"/>
      </w:pPr>
      <w:rPr>
        <w:rFonts w:ascii="Noto Sans Symbols" w:hAnsi="Noto Sans Symbols" w:eastAsia="Noto Sans Symbols" w:cs="Noto Sans Symbols"/>
        <w:sz w:val="20"/>
        <w:szCs w:val="20"/>
      </w:rPr>
      <w:start w:val="1"/>
      <w:suff w:val="tab"/>
    </w:lvl>
    <w:lvl w:ilvl="7">
      <w:isLgl w:val="false"/>
      <w:lvlJc w:val="left"/>
      <w:lvlText w:val="▪"/>
      <w:numFmt w:val="bullet"/>
      <w:pPr>
        <w:pBdr/>
        <w:spacing/>
        <w:ind w:hanging="360" w:left="5760"/>
      </w:pPr>
      <w:rPr>
        <w:rFonts w:ascii="Noto Sans Symbols" w:hAnsi="Noto Sans Symbols" w:eastAsia="Noto Sans Symbols" w:cs="Noto Sans Symbols"/>
        <w:sz w:val="20"/>
        <w:szCs w:val="20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 Symbols" w:hAnsi="Noto Sans Symbols" w:eastAsia="Noto Sans Symbols" w:cs="Noto Sans Symbols"/>
        <w:sz w:val="20"/>
        <w:szCs w:val="20"/>
      </w:rPr>
      <w:start w:val="1"/>
      <w:suff w:val="tab"/>
    </w:lvl>
  </w:abstractNum>
  <w:abstractNum w:abstractNumId="7">
    <w:nsid w:val="19C549B0"/>
    <w:lvl w:ilvl="0">
      <w:isLgl w:val="false"/>
      <w:lvlJc w:val="left"/>
      <w:lvlText w:val="%1."/>
      <w:numFmt w:val="decimal"/>
      <w:pPr>
        <w:pBdr/>
        <w:spacing/>
        <w:ind w:hanging="360" w:left="10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8">
    <w:nsid w:val="1D895069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%2."/>
      <w:numFmt w:val="decimal"/>
      <w:pPr>
        <w:pBdr/>
        <w:spacing/>
        <w:ind w:hanging="360" w:left="1440"/>
      </w:pPr>
      <w:rPr>
        <w:rFonts w:hint="default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9">
    <w:nsid w:val="23CC08F0"/>
    <w:lvl w:ilvl="0">
      <w:isLgl w:val="false"/>
      <w:lvlJc w:val="left"/>
      <w:lvlText w:val="●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648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7200"/>
      </w:pPr>
      <w:rPr>
        <w:u w:val="none"/>
      </w:rPr>
      <w:start w:val="1"/>
      <w:suff w:val="tab"/>
    </w:lvl>
  </w:abstractNum>
  <w:abstractNum w:abstractNumId="10">
    <w:nsid w:val="261C3B5C"/>
    <w:lvl w:ilvl="0">
      <w:isLgl w:val="false"/>
      <w:lvlJc w:val="left"/>
      <w:lvlText w:val="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11">
    <w:nsid w:val="262478D5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2">
    <w:nsid w:val="266C293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nsid w:val="321D3D92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4">
    <w:nsid w:val="3576285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361E5CD3"/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16">
    <w:nsid w:val="36231486"/>
    <w:lvl w:ilvl="0">
      <w:isLgl w:val="false"/>
      <w:lvlJc w:val="left"/>
      <w:lvlText w:val="%1."/>
      <w:numFmt w:val="decimal"/>
      <w:pPr>
        <w:pBdr/>
        <w:spacing/>
        <w:ind w:hanging="360" w:left="10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17">
    <w:nsid w:val="3D0D67F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680"/>
        </w:tabs>
        <w:spacing/>
        <w:ind w:hanging="36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840"/>
        </w:tabs>
        <w:spacing/>
        <w:ind w:hanging="360" w:left="6840"/>
      </w:pPr>
      <w:rPr/>
      <w:start w:val="1"/>
      <w:suff w:val="tab"/>
    </w:lvl>
  </w:abstractNum>
  <w:abstractNum w:abstractNumId="18">
    <w:nsid w:val="425F69D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19">
    <w:nsid w:val="44BA544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0">
    <w:nsid w:val="48482DB4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1">
    <w:nsid w:val="4EC64242"/>
    <w:lvl w:ilvl="0">
      <w:isLgl w:val="false"/>
      <w:lvlJc w:val="left"/>
      <w:lvlText w:val="%1"/>
      <w:numFmt w:val="decimal"/>
      <w:pPr>
        <w:pBdr/>
        <w:spacing/>
        <w:ind w:hanging="375" w:left="375"/>
      </w:pPr>
      <w:rPr>
        <w:rFonts w:hint="default"/>
      </w:rPr>
      <w:start w:val="1"/>
      <w:suff w:val="tab"/>
    </w:lvl>
    <w:lvl w:ilvl="1">
      <w:isLgl w:val="false"/>
      <w:lvlJc w:val="left"/>
      <w:lvlText w:val="%1.%2"/>
      <w:numFmt w:val="decimal"/>
      <w:pPr>
        <w:pBdr/>
        <w:spacing/>
        <w:ind w:hanging="375" w:left="1455"/>
      </w:pPr>
      <w:rPr>
        <w:rFonts w:hint="default"/>
      </w:rPr>
      <w:start w:val="3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288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1080" w:left="43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540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440" w:left="684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792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800" w:left="936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2160" w:left="10800"/>
      </w:pPr>
      <w:rPr>
        <w:rFonts w:hint="default"/>
      </w:rPr>
      <w:start w:val="1"/>
      <w:suff w:val="tab"/>
    </w:lvl>
  </w:abstractNum>
  <w:abstractNum w:abstractNumId="22">
    <w:nsid w:val="58D3574D"/>
    <w:lvl w:ilvl="0">
      <w:isLgl w:val="false"/>
      <w:lvlJc w:val="left"/>
      <w:lvlText w:val="%1"/>
      <w:numFmt w:val="decimal"/>
      <w:pPr>
        <w:pBdr/>
        <w:spacing/>
        <w:ind w:hanging="375" w:left="375"/>
      </w:pPr>
      <w:rPr>
        <w:rFonts w:hint="default"/>
      </w:rPr>
      <w:start w:val="1"/>
      <w:suff w:val="tab"/>
    </w:lvl>
    <w:lvl w:ilvl="1">
      <w:isLgl w:val="false"/>
      <w:lvlJc w:val="left"/>
      <w:lvlText w:val="%1.%2"/>
      <w:numFmt w:val="decimal"/>
      <w:pPr>
        <w:pBdr/>
        <w:spacing/>
        <w:ind w:hanging="375" w:left="1455"/>
      </w:pPr>
      <w:rPr>
        <w:rFonts w:hint="default"/>
      </w:rPr>
      <w:start w:val="3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288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1080" w:left="43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540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440" w:left="684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792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800" w:left="936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2160" w:left="10800"/>
      </w:pPr>
      <w:rPr>
        <w:rFonts w:hint="default"/>
      </w:rPr>
      <w:start w:val="1"/>
      <w:suff w:val="tab"/>
    </w:lvl>
  </w:abstractNum>
  <w:abstractNum w:abstractNumId="23">
    <w:nsid w:val="65DC7770"/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24">
    <w:nsid w:val="66C90467"/>
    <w:lvl w:ilvl="0">
      <w:isLgl w:val="false"/>
      <w:lvlJc w:val="left"/>
      <w:lvlText w:val=""/>
      <w:numFmt w:val="bullet"/>
      <w:pPr>
        <w:pBdr/>
        <w:spacing/>
        <w:ind w:hanging="360" w:left="142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9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9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9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9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9"/>
      </w:pPr>
      <w:rPr>
        <w:rFonts w:hint="default" w:ascii="Wingdings" w:hAnsi="Wingdings"/>
      </w:rPr>
      <w:start w:val="1"/>
      <w:suff w:val="tab"/>
    </w:lvl>
  </w:abstractNum>
  <w:abstractNum w:abstractNumId="25">
    <w:nsid w:val="7298048A"/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26">
    <w:nsid w:val="78120F46"/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27">
    <w:nsid w:val="796C7C3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18"/>
  </w:num>
  <w:num w:numId="2">
    <w:abstractNumId w:val="19"/>
  </w:num>
  <w:num w:numId="3">
    <w:abstractNumId w:val="6"/>
  </w:num>
  <w:num w:numId="4">
    <w:abstractNumId w:val="9"/>
  </w:num>
  <w:num w:numId="5">
    <w:abstractNumId w:val="20"/>
  </w:num>
  <w:num w:numId="6">
    <w:abstractNumId w:val="16"/>
  </w:num>
  <w:num w:numId="7">
    <w:abstractNumId w:val="5"/>
  </w:num>
  <w:num w:numId="8">
    <w:abstractNumId w:val="1"/>
  </w:num>
  <w:num w:numId="9">
    <w:abstractNumId w:val="23"/>
  </w:num>
  <w:num w:numId="10">
    <w:abstractNumId w:val="22"/>
  </w:num>
  <w:num w:numId="11">
    <w:abstractNumId w:val="12"/>
  </w:num>
  <w:num w:numId="12">
    <w:abstractNumId w:val="13"/>
  </w:num>
  <w:num w:numId="13">
    <w:abstractNumId w:val="21"/>
  </w:num>
  <w:num w:numId="14">
    <w:abstractNumId w:val="27"/>
  </w:num>
  <w:num w:numId="15">
    <w:abstractNumId w:val="11"/>
  </w:num>
  <w:num w:numId="16">
    <w:abstractNumId w:val="3"/>
  </w:num>
  <w:num w:numId="17">
    <w:abstractNumId w:val="26"/>
  </w:num>
  <w:num w:numId="18">
    <w:abstractNumId w:val="14"/>
  </w:num>
  <w:num w:numId="19">
    <w:abstractNumId w:val="15"/>
  </w:num>
  <w:num w:numId="20">
    <w:abstractNumId w:val="25"/>
  </w:num>
  <w:num w:numId="21">
    <w:abstractNumId w:val="8"/>
  </w:num>
  <w:num w:numId="22">
    <w:abstractNumId w:val="17"/>
    <w:lvlOverride w:ilvl="0">
      <w:startOverride w:val="1"/>
    </w:lvlOverride>
  </w:num>
  <w:num w:numId="23">
    <w:abstractNumId w:val="17"/>
    <w:lvlOverride w:ilvl="0">
      <w:startOverride w:val="2"/>
    </w:lvlOverride>
  </w:num>
  <w:num w:numId="24">
    <w:abstractNumId w:val="17"/>
    <w:lvlOverride w:ilvl="0">
      <w:startOverride w:val="3"/>
    </w:lvlOverride>
  </w:num>
  <w:num w:numId="25">
    <w:abstractNumId w:val="2"/>
  </w:num>
  <w:num w:numId="26">
    <w:abstractNumId w:val="7"/>
  </w:num>
  <w:num w:numId="27">
    <w:abstractNumId w:val="4"/>
  </w:num>
  <w:num w:numId="28">
    <w:abstractNumId w:val="0"/>
  </w:num>
  <w:num w:numId="29">
    <w:abstractNumId w:val="10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7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7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7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7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7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7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7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7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7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7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7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7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7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7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7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7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7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7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45">
    <w:name w:val="Heading 7"/>
    <w:basedOn w:val="782"/>
    <w:next w:val="782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782"/>
    <w:next w:val="782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782"/>
    <w:next w:val="782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789"/>
    <w:link w:val="78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789"/>
    <w:link w:val="78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789"/>
    <w:link w:val="7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789"/>
    <w:link w:val="78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789"/>
    <w:link w:val="7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789"/>
    <w:link w:val="78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789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789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789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789"/>
    <w:link w:val="79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62">
    <w:name w:val="Subtitle Char"/>
    <w:basedOn w:val="789"/>
    <w:link w:val="80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782"/>
    <w:next w:val="782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789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7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782"/>
    <w:next w:val="782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789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7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782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7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789"/>
    <w:uiPriority w:val="20"/>
    <w:qFormat/>
    <w:pPr>
      <w:pBdr/>
      <w:spacing/>
      <w:ind/>
    </w:pPr>
    <w:rPr>
      <w:i/>
      <w:iCs/>
    </w:rPr>
  </w:style>
  <w:style w:type="character" w:styleId="174">
    <w:name w:val="Subtle Reference"/>
    <w:basedOn w:val="7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78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789"/>
    <w:link w:val="812"/>
    <w:uiPriority w:val="99"/>
    <w:pPr>
      <w:pBdr/>
      <w:spacing/>
      <w:ind/>
    </w:pPr>
  </w:style>
  <w:style w:type="character" w:styleId="179">
    <w:name w:val="Footer Char"/>
    <w:basedOn w:val="789"/>
    <w:link w:val="814"/>
    <w:uiPriority w:val="99"/>
    <w:pPr>
      <w:pBdr/>
      <w:spacing/>
      <w:ind/>
    </w:pPr>
  </w:style>
  <w:style w:type="paragraph" w:styleId="180">
    <w:name w:val="Caption"/>
    <w:basedOn w:val="782"/>
    <w:next w:val="78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782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789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789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782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789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789"/>
    <w:uiPriority w:val="99"/>
    <w:semiHidden/>
    <w:unhideWhenUsed/>
    <w:pPr>
      <w:pBdr/>
      <w:spacing/>
      <w:ind/>
    </w:pPr>
    <w:rPr>
      <w:vertAlign w:val="superscript"/>
    </w:rPr>
  </w:style>
  <w:style w:type="character" w:styleId="188">
    <w:name w:val="FollowedHyperlink"/>
    <w:basedOn w:val="7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90">
    <w:name w:val="toc 2"/>
    <w:basedOn w:val="782"/>
    <w:next w:val="782"/>
    <w:uiPriority w:val="39"/>
    <w:unhideWhenUsed/>
    <w:pPr>
      <w:pBdr/>
      <w:spacing w:after="100"/>
      <w:ind w:left="220"/>
    </w:pPr>
  </w:style>
  <w:style w:type="paragraph" w:styleId="191">
    <w:name w:val="toc 3"/>
    <w:basedOn w:val="782"/>
    <w:next w:val="782"/>
    <w:uiPriority w:val="39"/>
    <w:unhideWhenUsed/>
    <w:pPr>
      <w:pBdr/>
      <w:spacing w:after="100"/>
      <w:ind w:left="440"/>
    </w:pPr>
  </w:style>
  <w:style w:type="paragraph" w:styleId="192">
    <w:name w:val="toc 4"/>
    <w:basedOn w:val="782"/>
    <w:next w:val="782"/>
    <w:uiPriority w:val="39"/>
    <w:unhideWhenUsed/>
    <w:pPr>
      <w:pBdr/>
      <w:spacing w:after="100"/>
      <w:ind w:left="660"/>
    </w:pPr>
  </w:style>
  <w:style w:type="paragraph" w:styleId="193">
    <w:name w:val="toc 5"/>
    <w:basedOn w:val="782"/>
    <w:next w:val="782"/>
    <w:uiPriority w:val="39"/>
    <w:unhideWhenUsed/>
    <w:pPr>
      <w:pBdr/>
      <w:spacing w:after="100"/>
      <w:ind w:left="880"/>
    </w:pPr>
  </w:style>
  <w:style w:type="paragraph" w:styleId="194">
    <w:name w:val="toc 6"/>
    <w:basedOn w:val="782"/>
    <w:next w:val="782"/>
    <w:uiPriority w:val="39"/>
    <w:unhideWhenUsed/>
    <w:pPr>
      <w:pBdr/>
      <w:spacing w:after="100"/>
      <w:ind w:left="1100"/>
    </w:pPr>
  </w:style>
  <w:style w:type="paragraph" w:styleId="195">
    <w:name w:val="toc 7"/>
    <w:basedOn w:val="782"/>
    <w:next w:val="782"/>
    <w:uiPriority w:val="39"/>
    <w:unhideWhenUsed/>
    <w:pPr>
      <w:pBdr/>
      <w:spacing w:after="100"/>
      <w:ind w:left="1320"/>
    </w:pPr>
  </w:style>
  <w:style w:type="paragraph" w:styleId="196">
    <w:name w:val="toc 8"/>
    <w:basedOn w:val="782"/>
    <w:next w:val="782"/>
    <w:uiPriority w:val="39"/>
    <w:unhideWhenUsed/>
    <w:pPr>
      <w:pBdr/>
      <w:spacing w:after="100"/>
      <w:ind w:left="1540"/>
    </w:pPr>
  </w:style>
  <w:style w:type="paragraph" w:styleId="197">
    <w:name w:val="toc 9"/>
    <w:basedOn w:val="782"/>
    <w:next w:val="782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789"/>
    <w:uiPriority w:val="99"/>
    <w:semiHidden/>
    <w:pPr>
      <w:pBdr/>
      <w:spacing/>
      <w:ind/>
    </w:pPr>
    <w:rPr>
      <w:color w:val="666666"/>
    </w:rPr>
  </w:style>
  <w:style w:type="paragraph" w:styleId="209">
    <w:name w:val="table of figures"/>
    <w:basedOn w:val="782"/>
    <w:next w:val="782"/>
    <w:uiPriority w:val="99"/>
    <w:unhideWhenUsed/>
    <w:pPr>
      <w:pBdr/>
      <w:spacing w:after="0" w:afterAutospacing="0"/>
      <w:ind/>
    </w:pPr>
  </w:style>
  <w:style w:type="paragraph" w:styleId="782" w:default="1">
    <w:name w:val="Normal"/>
    <w:qFormat/>
    <w:pPr>
      <w:pBdr/>
      <w:spacing/>
      <w:ind/>
    </w:pPr>
  </w:style>
  <w:style w:type="paragraph" w:styleId="783">
    <w:name w:val="Heading 1"/>
    <w:basedOn w:val="782"/>
    <w:next w:val="782"/>
    <w:pPr>
      <w:keepNext w:val="true"/>
      <w:keepLines w:val="true"/>
      <w:pBdr/>
      <w:spacing w:after="120" w:before="480"/>
      <w:ind/>
      <w:outlineLvl w:val="0"/>
    </w:pPr>
    <w:rPr>
      <w:b/>
      <w:sz w:val="48"/>
      <w:szCs w:val="48"/>
    </w:rPr>
  </w:style>
  <w:style w:type="paragraph" w:styleId="784">
    <w:name w:val="Heading 2"/>
    <w:basedOn w:val="782"/>
    <w:next w:val="782"/>
    <w:pPr>
      <w:keepNext w:val="true"/>
      <w:keepLines w:val="true"/>
      <w:pBdr/>
      <w:spacing w:after="80" w:before="360"/>
      <w:ind/>
      <w:outlineLvl w:val="1"/>
    </w:pPr>
    <w:rPr>
      <w:b/>
      <w:sz w:val="36"/>
      <w:szCs w:val="36"/>
    </w:rPr>
  </w:style>
  <w:style w:type="paragraph" w:styleId="785">
    <w:name w:val="Heading 3"/>
    <w:basedOn w:val="782"/>
    <w:next w:val="782"/>
    <w:pPr>
      <w:keepNext w:val="true"/>
      <w:keepLines w:val="true"/>
      <w:pBdr/>
      <w:spacing w:after="80" w:before="280"/>
      <w:ind/>
      <w:outlineLvl w:val="2"/>
    </w:pPr>
    <w:rPr>
      <w:b/>
      <w:sz w:val="28"/>
      <w:szCs w:val="28"/>
    </w:rPr>
  </w:style>
  <w:style w:type="paragraph" w:styleId="786">
    <w:name w:val="Heading 4"/>
    <w:basedOn w:val="782"/>
    <w:next w:val="782"/>
    <w:pPr>
      <w:keepNext w:val="true"/>
      <w:keepLines w:val="true"/>
      <w:pBdr/>
      <w:spacing w:after="40" w:before="240"/>
      <w:ind/>
      <w:outlineLvl w:val="3"/>
    </w:pPr>
    <w:rPr>
      <w:b/>
      <w:sz w:val="24"/>
      <w:szCs w:val="24"/>
    </w:rPr>
  </w:style>
  <w:style w:type="paragraph" w:styleId="787">
    <w:name w:val="Heading 5"/>
    <w:basedOn w:val="782"/>
    <w:next w:val="782"/>
    <w:pPr>
      <w:keepNext w:val="true"/>
      <w:keepLines w:val="true"/>
      <w:pBdr/>
      <w:spacing w:after="40" w:before="220"/>
      <w:ind/>
      <w:outlineLvl w:val="4"/>
    </w:pPr>
    <w:rPr>
      <w:b/>
    </w:rPr>
  </w:style>
  <w:style w:type="paragraph" w:styleId="788">
    <w:name w:val="Heading 6"/>
    <w:basedOn w:val="782"/>
    <w:next w:val="782"/>
    <w:pPr>
      <w:keepNext w:val="true"/>
      <w:keepLines w:val="true"/>
      <w:pBdr/>
      <w:spacing w:after="40" w:before="200"/>
      <w:ind/>
      <w:outlineLvl w:val="5"/>
    </w:pPr>
    <w:rPr>
      <w:b/>
      <w:sz w:val="20"/>
      <w:szCs w:val="20"/>
    </w:rPr>
  </w:style>
  <w:style w:type="character" w:styleId="789" w:default="1">
    <w:name w:val="Default Paragraph Font"/>
    <w:uiPriority w:val="1"/>
    <w:unhideWhenUsed/>
    <w:pPr>
      <w:pBdr/>
      <w:spacing/>
      <w:ind/>
    </w:pPr>
  </w:style>
  <w:style w:type="table" w:styleId="79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91" w:default="1">
    <w:name w:val="No List"/>
    <w:uiPriority w:val="99"/>
    <w:semiHidden/>
    <w:unhideWhenUsed/>
    <w:pPr>
      <w:pBdr/>
      <w:spacing/>
      <w:ind/>
    </w:pPr>
  </w:style>
  <w:style w:type="table" w:styleId="792" w:customStyle="1">
    <w:name w:val="Table Normal"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793">
    <w:name w:val="Title"/>
    <w:basedOn w:val="782"/>
    <w:next w:val="782"/>
    <w:pPr>
      <w:keepNext w:val="true"/>
      <w:keepLines w:val="true"/>
      <w:pBdr/>
      <w:spacing w:after="120" w:before="480"/>
      <w:ind/>
    </w:pPr>
    <w:rPr>
      <w:b/>
      <w:sz w:val="72"/>
      <w:szCs w:val="72"/>
    </w:rPr>
  </w:style>
  <w:style w:type="table" w:styleId="794" w:customStyle="1">
    <w:name w:val="Table Normal"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Table Normal"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796">
    <w:name w:val="Balloon Text"/>
    <w:basedOn w:val="782"/>
    <w:link w:val="797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797" w:customStyle="1">
    <w:name w:val="Текст выноски Знак"/>
    <w:basedOn w:val="789"/>
    <w:link w:val="79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798">
    <w:name w:val="Hyperlink"/>
    <w:basedOn w:val="789"/>
    <w:uiPriority w:val="99"/>
    <w:unhideWhenUsed/>
    <w:pPr>
      <w:pBdr/>
      <w:spacing/>
      <w:ind/>
    </w:pPr>
    <w:rPr>
      <w:color w:val="0000ff"/>
      <w:u w:val="single"/>
    </w:rPr>
  </w:style>
  <w:style w:type="paragraph" w:styleId="799">
    <w:name w:val="Normal (Web)"/>
    <w:basedOn w:val="782"/>
    <w:uiPriority w:val="99"/>
    <w:unhideWhenUsed/>
    <w:pPr>
      <w:pBdr/>
      <w:spacing w:after="100" w:afterAutospacing="1" w:before="100" w:beforeAutospacing="1"/>
      <w:ind/>
    </w:pPr>
    <w:rPr>
      <w:rFonts w:ascii="Times New Roman" w:hAnsi="Times New Roman" w:eastAsia="Times New Roman" w:cs="Times New Roman"/>
      <w:sz w:val="24"/>
      <w:szCs w:val="24"/>
    </w:rPr>
  </w:style>
  <w:style w:type="character" w:styleId="800" w:customStyle="1">
    <w:name w:val="mwe-math-mathml-inline"/>
    <w:basedOn w:val="789"/>
    <w:pPr>
      <w:pBdr/>
      <w:spacing/>
      <w:ind/>
    </w:pPr>
  </w:style>
  <w:style w:type="table" w:styleId="801">
    <w:name w:val="Table Grid"/>
    <w:basedOn w:val="790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02" w:customStyle="1">
    <w:name w:val="apple-tab-span"/>
    <w:basedOn w:val="789"/>
    <w:pPr>
      <w:pBdr/>
      <w:spacing/>
      <w:ind/>
    </w:pPr>
  </w:style>
  <w:style w:type="paragraph" w:styleId="803">
    <w:name w:val="Subtitle"/>
    <w:basedOn w:val="782"/>
    <w:next w:val="782"/>
    <w:pPr>
      <w:keepNext w:val="true"/>
      <w:keepLines w:val="true"/>
      <w:pBdr/>
      <w:spacing w:after="80" w:before="360"/>
      <w:ind/>
    </w:pPr>
    <w:rPr>
      <w:rFonts w:ascii="Georgia" w:hAnsi="Georgia" w:eastAsia="Georgia" w:cs="Georgia"/>
      <w:i/>
      <w:color w:val="666666"/>
      <w:sz w:val="48"/>
      <w:szCs w:val="48"/>
    </w:rPr>
  </w:style>
  <w:style w:type="table" w:styleId="804" w:customStyle="1">
    <w:name w:val="StGen0"/>
    <w:basedOn w:val="795"/>
    <w:pPr>
      <w:pBdr/>
      <w:spacing/>
      <w:ind/>
    </w:pPr>
    <w:tblPr>
      <w:tblStyleRowBandSize w:val="1"/>
      <w:tblStyleColBandSize w:val="1"/>
      <w:tblCellMar>
        <w:left w:w="15" w:type="dxa"/>
        <w:top w:w="15" w:type="dxa"/>
        <w:right w:w="15" w:type="dxa"/>
        <w:bottom w:w="15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05">
    <w:name w:val="List Paragraph"/>
    <w:basedOn w:val="782"/>
    <w:uiPriority w:val="1"/>
    <w:qFormat/>
    <w:pPr>
      <w:pBdr/>
      <w:spacing/>
      <w:ind w:left="720"/>
      <w:contextualSpacing w:val="true"/>
    </w:pPr>
  </w:style>
  <w:style w:type="table" w:styleId="806" w:customStyle="1">
    <w:name w:val="StGen1"/>
    <w:basedOn w:val="795"/>
    <w:pPr>
      <w:pBdr/>
      <w:spacing/>
      <w:ind/>
    </w:pPr>
    <w:tblPr>
      <w:tblStyleRowBandSize w:val="1"/>
      <w:tblStyleColBandSize w:val="1"/>
      <w:tblCellMar>
        <w:left w:w="15" w:type="dxa"/>
        <w:top w:w="15" w:type="dxa"/>
        <w:right w:w="15" w:type="dxa"/>
        <w:bottom w:w="15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StGen2"/>
    <w:basedOn w:val="794"/>
    <w:pPr>
      <w:pBdr/>
      <w:spacing/>
      <w:ind/>
    </w:pPr>
    <w:tblPr>
      <w:tblStyleRowBandSize w:val="1"/>
      <w:tblStyleColBandSize w:val="1"/>
      <w:tblCellMar>
        <w:left w:w="15" w:type="dxa"/>
        <w:top w:w="15" w:type="dxa"/>
        <w:right w:w="15" w:type="dxa"/>
        <w:bottom w:w="15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08" w:customStyle="1">
    <w:name w:val="richfactdown-paragraph"/>
    <w:basedOn w:val="782"/>
    <w:pPr>
      <w:pBdr/>
      <w:spacing w:after="100" w:afterAutospacing="1" w:before="100" w:beforeAutospacing="1"/>
      <w:ind/>
    </w:pPr>
    <w:rPr>
      <w:rFonts w:ascii="Times New Roman" w:hAnsi="Times New Roman" w:eastAsia="Times New Roman" w:cs="Times New Roman"/>
      <w:sz w:val="24"/>
      <w:szCs w:val="24"/>
    </w:rPr>
  </w:style>
  <w:style w:type="character" w:styleId="809">
    <w:name w:val="Strong"/>
    <w:basedOn w:val="789"/>
    <w:uiPriority w:val="22"/>
    <w:qFormat/>
    <w:pPr>
      <w:pBdr/>
      <w:spacing/>
      <w:ind/>
    </w:pPr>
    <w:rPr>
      <w:b/>
      <w:bCs/>
    </w:rPr>
  </w:style>
  <w:style w:type="paragraph" w:styleId="810">
    <w:name w:val="TOC Heading"/>
    <w:basedOn w:val="783"/>
    <w:next w:val="782"/>
    <w:uiPriority w:val="39"/>
    <w:unhideWhenUsed/>
    <w:qFormat/>
    <w:pPr>
      <w:pBdr/>
      <w:spacing w:after="0" w:before="240" w:line="259" w:lineRule="auto"/>
      <w:ind/>
      <w:outlineLvl w:val="9"/>
    </w:pPr>
    <w:rPr>
      <w:rFonts w:asciiTheme="majorHAnsi" w:hAnsiTheme="majorHAnsi" w:eastAsiaTheme="majorEastAsia" w:cstheme="majorBidi"/>
      <w:b w:val="0"/>
      <w:color w:val="365f91" w:themeColor="accent1" w:themeShade="BF"/>
      <w:sz w:val="32"/>
      <w:szCs w:val="32"/>
    </w:rPr>
  </w:style>
  <w:style w:type="paragraph" w:styleId="811">
    <w:name w:val="toc 1"/>
    <w:basedOn w:val="782"/>
    <w:next w:val="782"/>
    <w:uiPriority w:val="39"/>
    <w:unhideWhenUsed/>
    <w:pPr>
      <w:pBdr/>
      <w:spacing w:after="100"/>
      <w:ind/>
    </w:pPr>
  </w:style>
  <w:style w:type="paragraph" w:styleId="812">
    <w:name w:val="Header"/>
    <w:basedOn w:val="782"/>
    <w:link w:val="813"/>
    <w:uiPriority w:val="99"/>
    <w:unhideWhenUsed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813" w:customStyle="1">
    <w:name w:val="Верхний колонтитул Знак"/>
    <w:basedOn w:val="789"/>
    <w:link w:val="812"/>
    <w:uiPriority w:val="99"/>
    <w:pPr>
      <w:pBdr/>
      <w:spacing/>
      <w:ind/>
    </w:pPr>
  </w:style>
  <w:style w:type="paragraph" w:styleId="814">
    <w:name w:val="Footer"/>
    <w:basedOn w:val="782"/>
    <w:link w:val="815"/>
    <w:uiPriority w:val="99"/>
    <w:unhideWhenUsed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815" w:customStyle="1">
    <w:name w:val="Нижний колонтитул Знак"/>
    <w:basedOn w:val="789"/>
    <w:link w:val="814"/>
    <w:uiPriority w:val="99"/>
    <w:pPr>
      <w:pBdr/>
      <w:spacing/>
      <w:ind/>
    </w:pPr>
  </w:style>
  <w:style w:type="character" w:styleId="816" w:customStyle="1">
    <w:name w:val="ng-star-inserted"/>
    <w:basedOn w:val="789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image" Target="media/image3.png"/><Relationship Id="rId15" Type="http://schemas.openxmlformats.org/officeDocument/2006/relationships/image" Target="media/image4.png"/><Relationship Id="rId16" Type="http://schemas.openxmlformats.org/officeDocument/2006/relationships/image" Target="media/image5.png"/><Relationship Id="rId17" Type="http://schemas.openxmlformats.org/officeDocument/2006/relationships/image" Target="media/image6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Q6hB5T4BA48gXbDbRm3Cb4mWwA==">CgMxLjAyCWguMWZvYjl0ZTIIaC5namRneHMyCWguMzBqMHpsbDgAciExMnkxMkpTemFZbjBCNG9qZjNOODh4ejhEOXpaeVlUblg=</go:docsCustomData>
</go:gDocsCustomXmlDataStorage>
</file>

<file path=customXml/itemProps1.xml><?xml version="1.0" encoding="utf-8"?>
<ds:datastoreItem xmlns:ds="http://schemas.openxmlformats.org/officeDocument/2006/customXml" ds:itemID="{C8A2BD86-1968-42D0-B9CA-01B58364C1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revision>29</cp:revision>
  <dcterms:created xsi:type="dcterms:W3CDTF">2024-05-21T17:57:00Z</dcterms:created>
  <dcterms:modified xsi:type="dcterms:W3CDTF">2025-10-18T01:02:07Z</dcterms:modified>
</cp:coreProperties>
</file>